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33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33"/>
      </w:tblGrid>
      <w:tr w:rsidR="00823CCA" w:rsidTr="00B03832">
        <w:trPr>
          <w:jc w:val="center"/>
        </w:trPr>
        <w:tc>
          <w:tcPr>
            <w:tcW w:w="12333" w:type="dxa"/>
            <w:shd w:val="clear" w:color="auto" w:fill="auto"/>
          </w:tcPr>
          <w:p w:rsidR="002C7044" w:rsidRPr="002C7044" w:rsidRDefault="002C7044" w:rsidP="002C7044">
            <w:pPr>
              <w:jc w:val="center"/>
              <w:rPr>
                <w:b/>
                <w:sz w:val="36"/>
                <w:szCs w:val="36"/>
              </w:rPr>
            </w:pPr>
            <w:r w:rsidRPr="002C7044">
              <w:rPr>
                <w:b/>
                <w:sz w:val="36"/>
                <w:szCs w:val="36"/>
              </w:rPr>
              <w:t>ПРОФЕСИОНАЛНА ГИМНАЗИЯ „ХРИСТО БОТЕВ”,</w:t>
            </w:r>
          </w:p>
          <w:p w:rsidR="002C7044" w:rsidRPr="002C7044" w:rsidRDefault="002C7044" w:rsidP="002C7044">
            <w:pPr>
              <w:jc w:val="center"/>
              <w:rPr>
                <w:sz w:val="28"/>
                <w:szCs w:val="28"/>
              </w:rPr>
            </w:pPr>
            <w:r w:rsidRPr="002C7044">
              <w:rPr>
                <w:sz w:val="28"/>
                <w:szCs w:val="28"/>
              </w:rPr>
              <w:t>град Долна баня, общ. Долна баня, обл. Софийска</w:t>
            </w:r>
          </w:p>
          <w:p w:rsidR="002C7044" w:rsidRPr="002C7044" w:rsidRDefault="002C7044" w:rsidP="002C7044">
            <w:pPr>
              <w:jc w:val="center"/>
              <w:rPr>
                <w:sz w:val="28"/>
                <w:szCs w:val="28"/>
              </w:rPr>
            </w:pPr>
            <w:r w:rsidRPr="002C7044">
              <w:rPr>
                <w:sz w:val="28"/>
                <w:szCs w:val="28"/>
              </w:rPr>
              <w:t>ул. „Търговска” № 133, тел. 07120/2045,</w:t>
            </w:r>
          </w:p>
          <w:p w:rsidR="002C7044" w:rsidRDefault="002C7044" w:rsidP="002C7044">
            <w:pPr>
              <w:jc w:val="center"/>
              <w:rPr>
                <w:color w:val="0000FF"/>
                <w:sz w:val="28"/>
                <w:szCs w:val="28"/>
                <w:u w:val="single"/>
                <w:lang w:val="en-US"/>
              </w:rPr>
            </w:pPr>
            <w:r w:rsidRPr="002C7044">
              <w:rPr>
                <w:sz w:val="28"/>
                <w:szCs w:val="28"/>
                <w:lang w:val="en-US"/>
              </w:rPr>
              <w:t>e</w:t>
            </w:r>
            <w:r w:rsidRPr="002C7044">
              <w:rPr>
                <w:sz w:val="28"/>
                <w:szCs w:val="28"/>
              </w:rPr>
              <w:t>_</w:t>
            </w:r>
            <w:r w:rsidRPr="002C7044">
              <w:rPr>
                <w:sz w:val="28"/>
                <w:szCs w:val="28"/>
                <w:lang w:val="en-US"/>
              </w:rPr>
              <w:t>mail</w:t>
            </w:r>
            <w:r w:rsidRPr="002C7044">
              <w:rPr>
                <w:sz w:val="28"/>
                <w:szCs w:val="28"/>
              </w:rPr>
              <w:t xml:space="preserve">: </w:t>
            </w:r>
            <w:hyperlink r:id="rId5" w:history="1">
              <w:r w:rsidRPr="002C7044">
                <w:rPr>
                  <w:color w:val="0000FF"/>
                  <w:sz w:val="28"/>
                  <w:szCs w:val="28"/>
                  <w:u w:val="single"/>
                  <w:lang w:val="en-US"/>
                </w:rPr>
                <w:t>hristobotev@abv.bg</w:t>
              </w:r>
            </w:hyperlink>
          </w:p>
          <w:p w:rsidR="002C7044" w:rsidRDefault="002C7044" w:rsidP="002C7044">
            <w:pPr>
              <w:jc w:val="center"/>
              <w:rPr>
                <w:color w:val="0000FF"/>
                <w:sz w:val="28"/>
                <w:szCs w:val="28"/>
                <w:u w:val="single"/>
                <w:lang w:val="en-US"/>
              </w:rPr>
            </w:pPr>
          </w:p>
          <w:p w:rsidR="002C7044" w:rsidRPr="002C7044" w:rsidRDefault="002C7044" w:rsidP="002C704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23CCA" w:rsidRPr="00FD2A20" w:rsidRDefault="00823CCA" w:rsidP="00382EE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823CCA" w:rsidRPr="00FD2A20" w:rsidRDefault="00823CCA" w:rsidP="002C7044">
            <w:pPr>
              <w:autoSpaceDE w:val="0"/>
              <w:autoSpaceDN w:val="0"/>
              <w:adjustRightInd w:val="0"/>
              <w:spacing w:line="300" w:lineRule="exact"/>
              <w:ind w:firstLine="6351"/>
              <w:jc w:val="both"/>
              <w:rPr>
                <w:bCs/>
                <w:lang w:eastAsia="en-US"/>
              </w:rPr>
            </w:pPr>
            <w:r w:rsidRPr="00FD2A20">
              <w:rPr>
                <w:b/>
                <w:bCs/>
                <w:lang w:eastAsia="en-US"/>
              </w:rPr>
              <w:t>УТВЪРЖДАВАМ</w:t>
            </w:r>
            <w:r w:rsidRPr="00FD2A20">
              <w:rPr>
                <w:bCs/>
                <w:lang w:eastAsia="en-US"/>
              </w:rPr>
              <w:t>:</w:t>
            </w:r>
          </w:p>
          <w:p w:rsidR="00823CCA" w:rsidRDefault="00823CCA" w:rsidP="002C7044">
            <w:pPr>
              <w:autoSpaceDE w:val="0"/>
              <w:autoSpaceDN w:val="0"/>
              <w:adjustRightInd w:val="0"/>
              <w:spacing w:line="300" w:lineRule="exact"/>
              <w:ind w:firstLine="6351"/>
              <w:jc w:val="both"/>
              <w:rPr>
                <w:bCs/>
                <w:lang w:eastAsia="en-US"/>
              </w:rPr>
            </w:pPr>
            <w:r w:rsidRPr="00FD2A20">
              <w:rPr>
                <w:bCs/>
                <w:lang w:eastAsia="en-US"/>
              </w:rPr>
              <w:t xml:space="preserve"> </w:t>
            </w:r>
            <w:r w:rsidR="002C7044">
              <w:rPr>
                <w:bCs/>
                <w:lang w:eastAsia="en-US"/>
              </w:rPr>
              <w:t>инж. Славейка Григорова</w:t>
            </w:r>
            <w:r w:rsidRPr="00FD2A20">
              <w:rPr>
                <w:bCs/>
                <w:lang w:eastAsia="en-US"/>
              </w:rPr>
              <w:t xml:space="preserve"> </w:t>
            </w:r>
          </w:p>
          <w:p w:rsidR="00C82CF7" w:rsidRDefault="00C82CF7" w:rsidP="002C7044">
            <w:pPr>
              <w:autoSpaceDE w:val="0"/>
              <w:autoSpaceDN w:val="0"/>
              <w:adjustRightInd w:val="0"/>
              <w:spacing w:line="300" w:lineRule="exact"/>
              <w:ind w:firstLine="6351"/>
              <w:jc w:val="both"/>
              <w:rPr>
                <w:bCs/>
                <w:lang w:eastAsia="en-US"/>
              </w:rPr>
            </w:pPr>
          </w:p>
          <w:p w:rsidR="00C82CF7" w:rsidRDefault="00C82CF7" w:rsidP="002C7044">
            <w:pPr>
              <w:autoSpaceDE w:val="0"/>
              <w:autoSpaceDN w:val="0"/>
              <w:adjustRightInd w:val="0"/>
              <w:spacing w:line="300" w:lineRule="exact"/>
              <w:ind w:firstLine="6351"/>
              <w:jc w:val="both"/>
              <w:rPr>
                <w:bCs/>
                <w:lang w:eastAsia="en-US"/>
              </w:rPr>
            </w:pPr>
          </w:p>
          <w:p w:rsidR="00C82CF7" w:rsidRPr="00FD2A20" w:rsidRDefault="00C82CF7" w:rsidP="002C7044">
            <w:pPr>
              <w:autoSpaceDE w:val="0"/>
              <w:autoSpaceDN w:val="0"/>
              <w:adjustRightInd w:val="0"/>
              <w:spacing w:line="300" w:lineRule="exact"/>
              <w:ind w:firstLine="6351"/>
              <w:jc w:val="both"/>
              <w:rPr>
                <w:bCs/>
                <w:lang w:eastAsia="en-US"/>
              </w:rPr>
            </w:pPr>
          </w:p>
          <w:p w:rsidR="00823CCA" w:rsidRPr="00FD2A20" w:rsidRDefault="00823CCA" w:rsidP="00382EEF">
            <w:pPr>
              <w:autoSpaceDE w:val="0"/>
              <w:autoSpaceDN w:val="0"/>
              <w:adjustRightInd w:val="0"/>
              <w:spacing w:line="300" w:lineRule="exact"/>
              <w:ind w:firstLine="397"/>
              <w:jc w:val="both"/>
              <w:rPr>
                <w:bCs/>
                <w:lang w:eastAsia="en-US"/>
              </w:rPr>
            </w:pPr>
          </w:p>
          <w:p w:rsidR="00823CCA" w:rsidRPr="002C7044" w:rsidRDefault="00823CCA" w:rsidP="00382EEF">
            <w:pPr>
              <w:pStyle w:val="Heading1"/>
              <w:jc w:val="center"/>
              <w:rPr>
                <w:rFonts w:eastAsia="Arial Unicode MS"/>
                <w:caps w:val="0"/>
                <w:sz w:val="32"/>
                <w:szCs w:val="32"/>
              </w:rPr>
            </w:pPr>
            <w:r w:rsidRPr="002C7044">
              <w:rPr>
                <w:rFonts w:eastAsia="Arial Unicode MS"/>
                <w:caps w:val="0"/>
                <w:sz w:val="32"/>
                <w:szCs w:val="32"/>
              </w:rPr>
              <w:t xml:space="preserve">ПРОГРАМА </w:t>
            </w:r>
          </w:p>
          <w:p w:rsidR="00823CCA" w:rsidRPr="002C7044" w:rsidRDefault="00823CCA" w:rsidP="00382EEF">
            <w:pPr>
              <w:pStyle w:val="Heading2"/>
              <w:jc w:val="center"/>
              <w:rPr>
                <w:sz w:val="32"/>
                <w:szCs w:val="32"/>
              </w:rPr>
            </w:pPr>
            <w:r w:rsidRPr="002C7044">
              <w:rPr>
                <w:sz w:val="32"/>
                <w:szCs w:val="32"/>
              </w:rPr>
              <w:t>ЗА ПРЕДОСТАВЯНЕ НА РАВНИ ВЪЗМОЖНОСТИ И ЗА ПРИОБЩАВАНЕ НА ДЕЦА И УЧЕНИЦИ ОТ УЯЗВИМИ ГРУПИ</w:t>
            </w:r>
          </w:p>
          <w:p w:rsidR="00823CCA" w:rsidRPr="00C82CF7" w:rsidRDefault="002C7044" w:rsidP="00382EEF">
            <w:pPr>
              <w:jc w:val="center"/>
              <w:rPr>
                <w:b/>
                <w:sz w:val="32"/>
                <w:szCs w:val="32"/>
              </w:rPr>
            </w:pPr>
            <w:r w:rsidRPr="00C82CF7">
              <w:rPr>
                <w:b/>
                <w:sz w:val="32"/>
                <w:szCs w:val="32"/>
              </w:rPr>
              <w:t>УЧЕБНА 202</w:t>
            </w:r>
            <w:r w:rsidR="00E66F37">
              <w:rPr>
                <w:b/>
                <w:sz w:val="32"/>
                <w:szCs w:val="32"/>
              </w:rPr>
              <w:t>1</w:t>
            </w:r>
            <w:r w:rsidR="00823CCA" w:rsidRPr="00C82CF7">
              <w:rPr>
                <w:b/>
                <w:sz w:val="32"/>
                <w:szCs w:val="32"/>
              </w:rPr>
              <w:t>/20</w:t>
            </w:r>
            <w:r w:rsidRPr="00C82CF7">
              <w:rPr>
                <w:b/>
                <w:sz w:val="32"/>
                <w:szCs w:val="32"/>
              </w:rPr>
              <w:t>2</w:t>
            </w:r>
            <w:r w:rsidR="00E66F37">
              <w:rPr>
                <w:b/>
                <w:sz w:val="32"/>
                <w:szCs w:val="32"/>
              </w:rPr>
              <w:t>2</w:t>
            </w:r>
            <w:r w:rsidR="00823CCA" w:rsidRPr="00C82CF7">
              <w:rPr>
                <w:b/>
                <w:sz w:val="32"/>
                <w:szCs w:val="32"/>
              </w:rPr>
              <w:t xml:space="preserve"> ГОДИНА</w:t>
            </w:r>
          </w:p>
          <w:p w:rsidR="00823CCA" w:rsidRPr="00275EB5" w:rsidRDefault="00823CCA" w:rsidP="00382EEF">
            <w:pPr>
              <w:jc w:val="center"/>
            </w:pPr>
          </w:p>
          <w:p w:rsidR="00823CCA" w:rsidRPr="00A52473" w:rsidRDefault="00823CCA" w:rsidP="00382EEF">
            <w:pPr>
              <w:ind w:firstLine="720"/>
              <w:jc w:val="center"/>
            </w:pPr>
            <w:r w:rsidRPr="00A52473">
              <w:t xml:space="preserve">Програмата за предоставяне на равни възможности и за приобщаване на деца и ученици от уязвими групи е приета на заседание на Педагогическия съвет (Протокол № </w:t>
            </w:r>
            <w:r w:rsidR="00D3188D" w:rsidRPr="00A52473">
              <w:t>01</w:t>
            </w:r>
            <w:r w:rsidRPr="00A52473">
              <w:t>/</w:t>
            </w:r>
            <w:r w:rsidR="0028382A" w:rsidRPr="00A52473">
              <w:t>1.09.202</w:t>
            </w:r>
            <w:r w:rsidR="00E66F37" w:rsidRPr="00A52473">
              <w:t>1</w:t>
            </w:r>
            <w:r w:rsidRPr="00A52473">
              <w:t xml:space="preserve"> г.) и е утвърдена със Заповед № </w:t>
            </w:r>
            <w:r w:rsidR="00D3188D" w:rsidRPr="00A52473">
              <w:t>11</w:t>
            </w:r>
            <w:r w:rsidRPr="00A52473">
              <w:t>/</w:t>
            </w:r>
            <w:r w:rsidR="00D3188D" w:rsidRPr="00A52473">
              <w:t>15</w:t>
            </w:r>
            <w:r w:rsidR="0028382A" w:rsidRPr="00A52473">
              <w:t>.09.202</w:t>
            </w:r>
            <w:r w:rsidR="00D3188D" w:rsidRPr="00A52473">
              <w:t>1</w:t>
            </w:r>
            <w:r w:rsidRPr="00A52473">
              <w:t xml:space="preserve"> г. на директора на училището</w:t>
            </w:r>
          </w:p>
          <w:p w:rsidR="00823CCA" w:rsidRPr="00A52473" w:rsidRDefault="00823CCA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823CCA" w:rsidRPr="00A52473" w:rsidRDefault="00823CCA" w:rsidP="0028382A">
            <w:pPr>
              <w:jc w:val="both"/>
              <w:rPr>
                <w:i/>
                <w:color w:val="FF0000"/>
              </w:rPr>
            </w:pPr>
            <w:bookmarkStart w:id="0" w:name="_GoBack"/>
            <w:bookmarkEnd w:id="0"/>
          </w:p>
          <w:p w:rsidR="00823CCA" w:rsidRPr="00A52473" w:rsidRDefault="00823CCA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C82CF7" w:rsidRDefault="00C82CF7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B03832" w:rsidRDefault="00B03832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B03832" w:rsidRDefault="00B03832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B03832" w:rsidRDefault="00B03832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C82CF7" w:rsidRDefault="00C82CF7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C82CF7" w:rsidRDefault="00C82CF7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C82CF7" w:rsidRDefault="00C82CF7" w:rsidP="00382EEF">
            <w:pPr>
              <w:ind w:firstLine="720"/>
              <w:jc w:val="both"/>
              <w:rPr>
                <w:i/>
                <w:color w:val="FF0000"/>
              </w:rPr>
            </w:pPr>
          </w:p>
          <w:p w:rsidR="00823CCA" w:rsidRPr="00275EB5" w:rsidRDefault="00823CCA" w:rsidP="00382EEF"/>
          <w:p w:rsidR="00823CCA" w:rsidRPr="00FD2A20" w:rsidRDefault="00823CCA" w:rsidP="00382EEF">
            <w:pPr>
              <w:ind w:firstLine="720"/>
              <w:jc w:val="both"/>
              <w:rPr>
                <w:b/>
              </w:rPr>
            </w:pPr>
            <w:r w:rsidRPr="00FD2A20">
              <w:rPr>
                <w:b/>
              </w:rPr>
              <w:t>І. Въведение</w:t>
            </w:r>
          </w:p>
          <w:p w:rsidR="00823CCA" w:rsidRPr="00275EB5" w:rsidRDefault="00823CCA" w:rsidP="00382EEF">
            <w:pPr>
              <w:ind w:firstLine="720"/>
              <w:jc w:val="both"/>
            </w:pPr>
            <w:r w:rsidRPr="00275EB5">
              <w:t xml:space="preserve">Настоящата програма е разработена във връзка с предоставянето на подкрепа за личностно развитие на учениците от </w:t>
            </w:r>
            <w:r w:rsidR="00B03832">
              <w:rPr>
                <w:bCs/>
                <w:lang w:eastAsia="en-US"/>
              </w:rPr>
              <w:t>ПГ „Христо Ботев“</w:t>
            </w:r>
            <w:r w:rsidRPr="00FD2A20">
              <w:rPr>
                <w:bCs/>
                <w:lang w:eastAsia="en-US"/>
              </w:rPr>
              <w:t xml:space="preserve"> </w:t>
            </w:r>
            <w:r w:rsidRPr="00275EB5">
              <w:t>и има за цел предоставяне на равни възможности на учениците от уязвими групи и гарантиране на тяхното качествено образование и участие в училищния живот заедно с останалите ученици.</w:t>
            </w:r>
          </w:p>
          <w:p w:rsidR="00823CCA" w:rsidRPr="00FD2A20" w:rsidRDefault="00823CCA" w:rsidP="00382EEF">
            <w:pPr>
              <w:ind w:firstLine="720"/>
              <w:jc w:val="both"/>
              <w:rPr>
                <w:lang w:val="en-US"/>
              </w:rPr>
            </w:pPr>
            <w:r w:rsidRPr="00275EB5">
              <w:t>Програмата включва редът и начините за оказване на обща и допълнителна подкрепа на учениците, които имат необходимост от такава в училището съобразно личните интереси, потребности и нужди на отделния ученик.</w:t>
            </w:r>
          </w:p>
          <w:p w:rsidR="00823CCA" w:rsidRPr="00FD2A20" w:rsidRDefault="00823CCA" w:rsidP="00382EEF">
            <w:pPr>
              <w:ind w:firstLine="720"/>
              <w:jc w:val="both"/>
              <w:rPr>
                <w:lang w:val="en-US"/>
              </w:rPr>
            </w:pPr>
          </w:p>
          <w:p w:rsidR="00823CCA" w:rsidRPr="00FD2A20" w:rsidRDefault="00823CCA" w:rsidP="00382EEF">
            <w:pPr>
              <w:pStyle w:val="Default"/>
              <w:ind w:firstLine="720"/>
              <w:jc w:val="both"/>
              <w:rPr>
                <w:color w:val="auto"/>
              </w:rPr>
            </w:pPr>
            <w:r w:rsidRPr="00FD2A20">
              <w:rPr>
                <w:b/>
                <w:bCs/>
                <w:color w:val="auto"/>
              </w:rPr>
              <w:t xml:space="preserve">II. Анализ на реалната ситуация </w:t>
            </w:r>
          </w:p>
          <w:p w:rsidR="00823CCA" w:rsidRPr="00275EB5" w:rsidRDefault="00823CCA" w:rsidP="00382EEF">
            <w:pPr>
              <w:ind w:firstLine="720"/>
              <w:jc w:val="both"/>
            </w:pPr>
            <w:r w:rsidRPr="00B14E4E">
              <w:t xml:space="preserve">В </w:t>
            </w:r>
            <w:r w:rsidR="00B03832" w:rsidRPr="00B14E4E">
              <w:rPr>
                <w:bCs/>
                <w:lang w:eastAsia="en-US"/>
              </w:rPr>
              <w:t>ПГ „Христо Ботев“</w:t>
            </w:r>
            <w:r w:rsidRPr="00B14E4E">
              <w:rPr>
                <w:bCs/>
                <w:lang w:eastAsia="en-US"/>
              </w:rPr>
              <w:t xml:space="preserve"> </w:t>
            </w:r>
            <w:r w:rsidRPr="00B14E4E">
              <w:t xml:space="preserve">се обучават </w:t>
            </w:r>
            <w:r w:rsidR="00B14E4E" w:rsidRPr="00B14E4E">
              <w:t>81</w:t>
            </w:r>
            <w:r w:rsidR="00B03832" w:rsidRPr="00B14E4E">
              <w:t xml:space="preserve"> ученици, разпределени в </w:t>
            </w:r>
            <w:r w:rsidR="00B14E4E" w:rsidRPr="00B14E4E">
              <w:t>4</w:t>
            </w:r>
            <w:r w:rsidRPr="00B14E4E">
              <w:t xml:space="preserve"> паралелки от V</w:t>
            </w:r>
            <w:r w:rsidR="00B03832" w:rsidRPr="00B14E4E">
              <w:rPr>
                <w:lang w:val="en-US"/>
              </w:rPr>
              <w:t>III</w:t>
            </w:r>
            <w:r w:rsidRPr="00B14E4E">
              <w:t xml:space="preserve"> до ХI клас. Ре</w:t>
            </w:r>
            <w:r w:rsidR="00B03832" w:rsidRPr="00B14E4E">
              <w:t xml:space="preserve">зултатите от </w:t>
            </w:r>
            <w:r w:rsidRPr="00B14E4E">
              <w:t xml:space="preserve">ДЗИ през </w:t>
            </w:r>
            <w:r w:rsidR="00B03832" w:rsidRPr="00B14E4E">
              <w:t>20</w:t>
            </w:r>
            <w:r w:rsidR="00E66F37" w:rsidRPr="00B14E4E">
              <w:t>20</w:t>
            </w:r>
            <w:r w:rsidRPr="00B14E4E">
              <w:rPr>
                <w:b/>
              </w:rPr>
              <w:t>/</w:t>
            </w:r>
            <w:r w:rsidR="00B03832" w:rsidRPr="00B14E4E">
              <w:t>202</w:t>
            </w:r>
            <w:r w:rsidR="00E66F37" w:rsidRPr="00B14E4E">
              <w:t>1</w:t>
            </w:r>
            <w:r w:rsidRPr="00B14E4E">
              <w:t xml:space="preserve"> учебна година показват, че в училището се провеж</w:t>
            </w:r>
            <w:r w:rsidR="00B03832" w:rsidRPr="00B14E4E">
              <w:t>да обучение на качествено ниво, но резултатите са незадоволителни</w:t>
            </w:r>
            <w:r w:rsidR="00B03832">
              <w:t>.</w:t>
            </w:r>
          </w:p>
          <w:p w:rsidR="00823CCA" w:rsidRPr="00275EB5" w:rsidRDefault="00823CCA" w:rsidP="00382EEF">
            <w:pPr>
              <w:ind w:firstLine="720"/>
              <w:jc w:val="both"/>
            </w:pPr>
            <w:r w:rsidRPr="00275EB5">
              <w:t xml:space="preserve">В училището се обучават ученици с различен социален статус. Има ученици с хронични заболявания, със СОП, както и </w:t>
            </w:r>
            <w:r w:rsidR="00B03832">
              <w:t>голям</w:t>
            </w:r>
            <w:r w:rsidRPr="00275EB5">
              <w:t xml:space="preserve"> брой ученици от ромски етнос. Няма данни за етническа и/или друга дискриминация, както и няма регистрирани ученици, </w:t>
            </w:r>
            <w:r w:rsidRPr="00144F2F">
              <w:t>извършили противообществени прояви</w:t>
            </w:r>
            <w:r w:rsidR="007C445E">
              <w:t xml:space="preserve"> на територията на училището</w:t>
            </w:r>
            <w:r w:rsidRPr="00275EB5">
              <w:t xml:space="preserve">. </w:t>
            </w:r>
          </w:p>
          <w:p w:rsidR="00823CCA" w:rsidRPr="00275EB5" w:rsidRDefault="00823CCA" w:rsidP="00382EEF">
            <w:pPr>
              <w:ind w:firstLine="720"/>
              <w:jc w:val="both"/>
            </w:pPr>
            <w:r>
              <w:t>Въз основа на тези характеристики</w:t>
            </w:r>
            <w:r w:rsidRPr="00275EB5">
              <w:t xml:space="preserve"> програмата включва предоставяне</w:t>
            </w:r>
            <w:r>
              <w:t xml:space="preserve"> </w:t>
            </w:r>
            <w:r w:rsidRPr="00275EB5">
              <w:t>както на обща, така и на допълнителна подкрепа.</w:t>
            </w:r>
          </w:p>
          <w:p w:rsidR="00823CCA" w:rsidRPr="00275EB5" w:rsidRDefault="00823CCA" w:rsidP="00382EEF">
            <w:pPr>
              <w:ind w:firstLine="720"/>
              <w:jc w:val="both"/>
            </w:pPr>
          </w:p>
          <w:p w:rsidR="00823CCA" w:rsidRPr="00FD2A20" w:rsidRDefault="00823CCA" w:rsidP="00382EEF">
            <w:pPr>
              <w:ind w:firstLine="720"/>
              <w:jc w:val="both"/>
              <w:rPr>
                <w:b/>
                <w:caps/>
              </w:rPr>
            </w:pPr>
            <w:r w:rsidRPr="00FD2A20">
              <w:rPr>
                <w:b/>
              </w:rPr>
              <w:t xml:space="preserve">III. Подкрепа за личностното развитие </w:t>
            </w:r>
          </w:p>
          <w:p w:rsidR="00823CCA" w:rsidRPr="00FD2A20" w:rsidRDefault="00823CCA" w:rsidP="00382EEF">
            <w:pPr>
              <w:ind w:firstLine="720"/>
              <w:jc w:val="both"/>
              <w:rPr>
                <w:b/>
              </w:rPr>
            </w:pPr>
          </w:p>
          <w:p w:rsidR="00823CCA" w:rsidRPr="00FD2A20" w:rsidRDefault="00823CCA" w:rsidP="00382EEF">
            <w:pPr>
              <w:ind w:firstLine="720"/>
              <w:jc w:val="both"/>
              <w:rPr>
                <w:b/>
              </w:rPr>
            </w:pPr>
            <w:r w:rsidRPr="00FD2A20">
              <w:rPr>
                <w:b/>
              </w:rPr>
              <w:t>Обща подкрепа за личностното развитие</w:t>
            </w:r>
          </w:p>
          <w:p w:rsidR="00823CCA" w:rsidRPr="00275EB5" w:rsidRDefault="00823CCA" w:rsidP="00382EEF">
            <w:pPr>
              <w:ind w:firstLine="720"/>
              <w:jc w:val="both"/>
            </w:pPr>
            <w:r w:rsidRPr="00275EB5">
              <w:t>Общата подкрепа за личностно развитие е насочена към всички ученици в класа, гарантира участието и изявата им в образователния процес и в де</w:t>
            </w:r>
            <w:r>
              <w:t>йността на училището, и включва:</w:t>
            </w:r>
          </w:p>
          <w:p w:rsidR="00823CCA" w:rsidRPr="00E74B3A" w:rsidRDefault="00823CCA" w:rsidP="00382EEF">
            <w:pPr>
              <w:numPr>
                <w:ilvl w:val="0"/>
                <w:numId w:val="4"/>
              </w:numPr>
              <w:jc w:val="both"/>
            </w:pPr>
            <w:r>
              <w:t>Е</w:t>
            </w:r>
            <w:r w:rsidRPr="00E74B3A">
              <w:t>кипна работа между учителите и другите педагогически специалисти:</w:t>
            </w:r>
          </w:p>
          <w:p w:rsidR="00823CCA" w:rsidRDefault="00823CCA" w:rsidP="00382EEF">
            <w:pPr>
              <w:numPr>
                <w:ilvl w:val="1"/>
                <w:numId w:val="5"/>
              </w:numPr>
              <w:jc w:val="both"/>
            </w:pPr>
            <w:r w:rsidRPr="00275EB5">
              <w:t xml:space="preserve">обсъждане на дейностите за обща подкрепа, в които се включват и </w:t>
            </w:r>
            <w:r>
              <w:t>учениците –</w:t>
            </w:r>
            <w:r w:rsidRPr="00275EB5">
              <w:t xml:space="preserve"> обмен на информация и на добри педагогически практики с цел подкрепа на всички учители за подобряване на работата им с учениците в класа;</w:t>
            </w:r>
          </w:p>
          <w:p w:rsidR="00823CCA" w:rsidRPr="00275EB5" w:rsidRDefault="00823CCA" w:rsidP="00382EEF">
            <w:pPr>
              <w:numPr>
                <w:ilvl w:val="1"/>
                <w:numId w:val="5"/>
              </w:numPr>
              <w:jc w:val="both"/>
            </w:pPr>
            <w:r w:rsidRPr="00275EB5">
              <w:t>провеждане на регулярни срещи, когато са за целите на превенцията, между класния ръководител, учители и други педагогически специалисти в училището</w:t>
            </w:r>
            <w:r>
              <w:t>.</w:t>
            </w:r>
          </w:p>
          <w:p w:rsidR="00823CCA" w:rsidRPr="00275EB5" w:rsidRDefault="00823CCA" w:rsidP="00382EEF">
            <w:pPr>
              <w:numPr>
                <w:ilvl w:val="0"/>
                <w:numId w:val="6"/>
              </w:numPr>
              <w:jc w:val="both"/>
            </w:pPr>
            <w:r>
              <w:t>К</w:t>
            </w:r>
            <w:r w:rsidRPr="00275EB5">
              <w:t xml:space="preserve">ариерно ориентиране на учениците </w:t>
            </w:r>
            <w:r>
              <w:t>–</w:t>
            </w:r>
            <w:r w:rsidRPr="00275EB5">
              <w:t xml:space="preserve"> провеждано от педагогическия съветник или</w:t>
            </w:r>
            <w:r>
              <w:t xml:space="preserve"> консултант от Център за</w:t>
            </w:r>
            <w:r w:rsidR="00B03832">
              <w:t xml:space="preserve"> кариерно ориентирате към ЦПЛР</w:t>
            </w:r>
            <w:r>
              <w:t>.</w:t>
            </w:r>
          </w:p>
          <w:p w:rsidR="00823CCA" w:rsidRPr="00275EB5" w:rsidRDefault="00823CCA" w:rsidP="00382EEF">
            <w:pPr>
              <w:numPr>
                <w:ilvl w:val="0"/>
                <w:numId w:val="6"/>
              </w:numPr>
              <w:jc w:val="both"/>
            </w:pPr>
            <w:r>
              <w:t>З</w:t>
            </w:r>
            <w:r w:rsidRPr="00275EB5">
              <w:t>анимания по интереси</w:t>
            </w:r>
            <w:r>
              <w:t>:</w:t>
            </w:r>
          </w:p>
          <w:p w:rsidR="00823CCA" w:rsidRDefault="00823CCA" w:rsidP="00382EEF">
            <w:pPr>
              <w:numPr>
                <w:ilvl w:val="1"/>
                <w:numId w:val="7"/>
              </w:numPr>
              <w:jc w:val="both"/>
            </w:pPr>
            <w:r w:rsidRPr="00275EB5">
              <w:lastRenderedPageBreak/>
              <w:t>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      </w:r>
          </w:p>
          <w:p w:rsidR="00823CCA" w:rsidRDefault="00823CCA" w:rsidP="00382EEF">
            <w:pPr>
              <w:numPr>
                <w:ilvl w:val="1"/>
                <w:numId w:val="7"/>
              </w:numPr>
              <w:jc w:val="both"/>
            </w:pPr>
            <w:r w:rsidRPr="00275EB5">
              <w:t>изяви, свързани с образователни, творчески, възпитателни, спортни и спортно-туристически дейности по проекти, програми и други на общинско, областно, национално и международно равнище;</w:t>
            </w:r>
          </w:p>
          <w:p w:rsidR="00823CCA" w:rsidRDefault="00823CCA" w:rsidP="00382EEF">
            <w:pPr>
              <w:numPr>
                <w:ilvl w:val="0"/>
                <w:numId w:val="8"/>
              </w:numPr>
              <w:jc w:val="both"/>
            </w:pPr>
            <w:r w:rsidRPr="00275EB5">
              <w:t>обучение по учебни предмети и модули, както и участие в дейности, чрез които се придобива допълн</w:t>
            </w:r>
            <w:r>
              <w:t>ителна подготовка от учениците.</w:t>
            </w:r>
          </w:p>
          <w:p w:rsidR="00823CCA" w:rsidRPr="00275EB5" w:rsidRDefault="00823CCA" w:rsidP="00382EEF">
            <w:pPr>
              <w:numPr>
                <w:ilvl w:val="0"/>
                <w:numId w:val="8"/>
              </w:numPr>
              <w:jc w:val="both"/>
            </w:pPr>
            <w:r>
              <w:t>Б</w:t>
            </w:r>
            <w:r w:rsidRPr="00275EB5">
              <w:t xml:space="preserve">иблиотечно-информационно обслужване – осигуряване на безплатни учебници за ученици V </w:t>
            </w:r>
            <w:r>
              <w:t>–</w:t>
            </w:r>
            <w:r w:rsidRPr="00275EB5">
              <w:t xml:space="preserve"> VII клас, свободен достъп до информация от различни документални източници и в глобалната мрежа с цел изграждане на навици за четене и компетентности за търсене и ползване на информация</w:t>
            </w:r>
            <w:r>
              <w:t>.</w:t>
            </w:r>
          </w:p>
          <w:p w:rsidR="00823CCA" w:rsidRPr="00275EB5" w:rsidRDefault="00823CCA" w:rsidP="00382EEF">
            <w:pPr>
              <w:numPr>
                <w:ilvl w:val="0"/>
                <w:numId w:val="8"/>
              </w:numPr>
              <w:jc w:val="both"/>
            </w:pPr>
            <w:r>
              <w:t>Г</w:t>
            </w:r>
            <w:r w:rsidRPr="00275EB5">
              <w:t xml:space="preserve">рижа за здравето въз основа на информация от родителя и при взаимодействие с медицинския специалист </w:t>
            </w:r>
            <w:r>
              <w:t>в здравния кабинет в училището.</w:t>
            </w:r>
          </w:p>
          <w:p w:rsidR="00823CCA" w:rsidRPr="00275EB5" w:rsidRDefault="00823CCA" w:rsidP="00382EEF">
            <w:pPr>
              <w:numPr>
                <w:ilvl w:val="0"/>
                <w:numId w:val="8"/>
              </w:numPr>
              <w:jc w:val="both"/>
            </w:pPr>
            <w:r>
              <w:t>О</w:t>
            </w:r>
            <w:r w:rsidRPr="00275EB5">
              <w:t>сигуряване на общежитие – за ученици от други селища</w:t>
            </w:r>
            <w:r>
              <w:t>.</w:t>
            </w:r>
          </w:p>
          <w:p w:rsidR="00823CCA" w:rsidRPr="00275EB5" w:rsidRDefault="00823CCA" w:rsidP="00382EEF">
            <w:pPr>
              <w:numPr>
                <w:ilvl w:val="0"/>
                <w:numId w:val="8"/>
              </w:numPr>
              <w:jc w:val="both"/>
            </w:pPr>
            <w:r>
              <w:t>П</w:t>
            </w:r>
            <w:r w:rsidRPr="00275EB5">
              <w:t>оощряване с морални и материални награди – по ред, определен в ПДУ</w:t>
            </w:r>
            <w:r>
              <w:t>.</w:t>
            </w:r>
          </w:p>
          <w:p w:rsidR="00823CCA" w:rsidRPr="00275EB5" w:rsidRDefault="00823CCA" w:rsidP="00382EEF">
            <w:pPr>
              <w:numPr>
                <w:ilvl w:val="0"/>
                <w:numId w:val="8"/>
              </w:numPr>
              <w:jc w:val="both"/>
            </w:pPr>
            <w:r>
              <w:t>Д</w:t>
            </w:r>
            <w:r w:rsidRPr="00275EB5">
              <w:t>ейности за превенция на насилието и преодоляване на проблемното поведение, свързани с:</w:t>
            </w:r>
          </w:p>
          <w:p w:rsidR="00823CCA" w:rsidRDefault="00823CCA" w:rsidP="00382EEF">
            <w:pPr>
              <w:numPr>
                <w:ilvl w:val="0"/>
                <w:numId w:val="9"/>
              </w:numPr>
              <w:jc w:val="both"/>
            </w:pPr>
            <w:r w:rsidRPr="00275EB5">
              <w:t>изграждане на позитивен организационен климат в училището</w:t>
            </w:r>
            <w:r w:rsidRPr="00FD2A20">
              <w:rPr>
                <w:lang w:val="en-US"/>
              </w:rPr>
              <w:t>;</w:t>
            </w:r>
          </w:p>
          <w:p w:rsidR="00823CCA" w:rsidRPr="00275EB5" w:rsidRDefault="00823CCA" w:rsidP="00382EEF">
            <w:pPr>
              <w:numPr>
                <w:ilvl w:val="0"/>
                <w:numId w:val="9"/>
              </w:numPr>
              <w:jc w:val="both"/>
            </w:pPr>
            <w:r w:rsidRPr="00275EB5">
              <w:t xml:space="preserve">психологическа подкрепа, насочена към учениците, педагогическите специалисти и родителите за създаване на условия за сътрудничество и ефективна комуникация между всички участници в образователния процес, предоставяне на методическа помощ на учителите за превенция на насилието и за преодоляване на проблемното поведение на учениците, извършване на групова работа с ученици и/или кризисна интервенция, работа със средата, в която е ученикът </w:t>
            </w:r>
            <w:r>
              <w:t>–</w:t>
            </w:r>
            <w:r w:rsidRPr="00275EB5">
              <w:t xml:space="preserve"> семейството, връстниците.</w:t>
            </w:r>
          </w:p>
          <w:p w:rsidR="00823CCA" w:rsidRPr="00275EB5" w:rsidRDefault="00823CCA" w:rsidP="00382EEF">
            <w:pPr>
              <w:numPr>
                <w:ilvl w:val="0"/>
                <w:numId w:val="10"/>
              </w:numPr>
              <w:jc w:val="both"/>
            </w:pPr>
            <w:r>
              <w:t>Д</w:t>
            </w:r>
            <w:r w:rsidRPr="00275EB5">
              <w:t>ейности за превенция на обучителните затруднения, включително логопедична работа:</w:t>
            </w:r>
          </w:p>
          <w:p w:rsidR="00823CCA" w:rsidRPr="00275EB5" w:rsidRDefault="00823CCA" w:rsidP="00382EEF">
            <w:pPr>
              <w:numPr>
                <w:ilvl w:val="1"/>
                <w:numId w:val="4"/>
              </w:numPr>
              <w:jc w:val="both"/>
            </w:pPr>
            <w:r w:rsidRPr="00275EB5">
              <w:t>допълнително обучение по учебни предмети с акцент върху обучението по български език, включително ограмотяване на ученици, за които българският език не е майчин;</w:t>
            </w:r>
          </w:p>
          <w:p w:rsidR="00823CCA" w:rsidRPr="00275EB5" w:rsidRDefault="00823CCA" w:rsidP="00382EEF">
            <w:pPr>
              <w:numPr>
                <w:ilvl w:val="1"/>
                <w:numId w:val="4"/>
              </w:numPr>
              <w:jc w:val="both"/>
            </w:pPr>
            <w:r w:rsidRPr="00275EB5">
              <w:t xml:space="preserve">консултации по учебни предмети и допълнителни консултации по учебни предмети, които се провеждат </w:t>
            </w:r>
            <w:r>
              <w:t>извън редовните учебни часове.</w:t>
            </w:r>
          </w:p>
          <w:p w:rsidR="00823CCA" w:rsidRPr="00275EB5" w:rsidRDefault="00823CCA" w:rsidP="00382EEF">
            <w:pPr>
              <w:ind w:firstLine="720"/>
              <w:jc w:val="both"/>
            </w:pPr>
          </w:p>
          <w:p w:rsidR="00823CCA" w:rsidRPr="00FD2A20" w:rsidRDefault="00823CCA" w:rsidP="00382EEF">
            <w:pPr>
              <w:ind w:firstLine="720"/>
              <w:jc w:val="both"/>
              <w:rPr>
                <w:b/>
              </w:rPr>
            </w:pPr>
            <w:r w:rsidRPr="00FD2A20">
              <w:rPr>
                <w:b/>
              </w:rPr>
              <w:t>Допълнителна подкрепа</w:t>
            </w:r>
          </w:p>
          <w:p w:rsidR="00823CCA" w:rsidRPr="00416AF6" w:rsidRDefault="00823CCA" w:rsidP="00382EEF">
            <w:pPr>
              <w:ind w:firstLine="720"/>
              <w:jc w:val="both"/>
            </w:pPr>
            <w:r w:rsidRPr="00275EB5">
              <w:t xml:space="preserve">Допълнителната подкрепа за личностно развитие се предоставя въз основа на оценка на индивидуалните потребности на ученика, извършена от екип за подкрепа за личностно развитие на ученика, утвърден със </w:t>
            </w:r>
            <w:r w:rsidRPr="00416AF6">
              <w:t>заповед на директора за конкретен ученик по чл. 187, ал. 2 от ЗПУО</w:t>
            </w:r>
            <w:r w:rsidRPr="00FD2A20">
              <w:rPr>
                <w:b/>
                <w:i/>
              </w:rPr>
              <w:t>.</w:t>
            </w:r>
          </w:p>
          <w:p w:rsidR="00823CCA" w:rsidRPr="00275EB5" w:rsidRDefault="00823CCA" w:rsidP="00382EEF">
            <w:pPr>
              <w:ind w:firstLine="720"/>
              <w:jc w:val="both"/>
            </w:pPr>
            <w:r w:rsidRPr="00275EB5">
              <w:t>Допълнителната подкрепа за личностно развитие се предоставя на ученици от следните уязвими групи:</w:t>
            </w:r>
          </w:p>
          <w:p w:rsidR="00823CCA" w:rsidRPr="00275EB5" w:rsidRDefault="00823CCA" w:rsidP="00382EEF">
            <w:pPr>
              <w:numPr>
                <w:ilvl w:val="0"/>
                <w:numId w:val="11"/>
              </w:numPr>
              <w:jc w:val="both"/>
            </w:pPr>
            <w:r w:rsidRPr="00275EB5">
              <w:t>със специални образователни потребности;</w:t>
            </w:r>
          </w:p>
          <w:p w:rsidR="00823CCA" w:rsidRPr="00275EB5" w:rsidRDefault="00823CCA" w:rsidP="00382EEF">
            <w:pPr>
              <w:numPr>
                <w:ilvl w:val="0"/>
                <w:numId w:val="11"/>
              </w:numPr>
              <w:jc w:val="both"/>
            </w:pPr>
            <w:r w:rsidRPr="00275EB5">
              <w:lastRenderedPageBreak/>
              <w:t>в риск;</w:t>
            </w:r>
          </w:p>
          <w:p w:rsidR="00823CCA" w:rsidRPr="00275EB5" w:rsidRDefault="00823CCA" w:rsidP="00382EEF">
            <w:pPr>
              <w:numPr>
                <w:ilvl w:val="0"/>
                <w:numId w:val="11"/>
              </w:numPr>
              <w:jc w:val="both"/>
            </w:pPr>
            <w:r w:rsidRPr="00275EB5">
              <w:t>с изявени дарби;</w:t>
            </w:r>
          </w:p>
          <w:p w:rsidR="00823CCA" w:rsidRPr="00275EB5" w:rsidRDefault="00823CCA" w:rsidP="00382EEF">
            <w:pPr>
              <w:numPr>
                <w:ilvl w:val="0"/>
                <w:numId w:val="11"/>
              </w:numPr>
              <w:jc w:val="both"/>
            </w:pPr>
            <w:r w:rsidRPr="00275EB5">
              <w:t>с хронични заболявания.</w:t>
            </w:r>
          </w:p>
          <w:p w:rsidR="00823CCA" w:rsidRPr="00275EB5" w:rsidRDefault="00823CCA" w:rsidP="00382EEF">
            <w:pPr>
              <w:ind w:firstLine="720"/>
              <w:jc w:val="both"/>
            </w:pPr>
            <w:r w:rsidRPr="00275EB5">
              <w:t>Допълнителната подкрепа се реализира чрез план за действие за всеки конкретен ученик, в който родителите се включват като активни участници в дейностите. При изпълнение на дейностите училищният екип работи в партньорство и/или при необходимост с РЦППЛР, социалните служби и др.</w:t>
            </w:r>
          </w:p>
          <w:p w:rsidR="00823CCA" w:rsidRPr="00275EB5" w:rsidRDefault="00823CCA" w:rsidP="00382EEF">
            <w:pPr>
              <w:ind w:firstLine="720"/>
              <w:jc w:val="both"/>
            </w:pPr>
            <w:r w:rsidRPr="00FD2A20">
              <w:rPr>
                <w:color w:val="70AD47"/>
              </w:rPr>
              <w:t xml:space="preserve"> </w:t>
            </w:r>
          </w:p>
          <w:p w:rsidR="00823CCA" w:rsidRPr="00FD2A20" w:rsidRDefault="00823CCA" w:rsidP="00382EEF">
            <w:pPr>
              <w:ind w:firstLine="720"/>
              <w:jc w:val="both"/>
              <w:rPr>
                <w:b/>
              </w:rPr>
            </w:pPr>
            <w:r w:rsidRPr="00FD2A20">
              <w:rPr>
                <w:b/>
              </w:rPr>
              <w:t>IV. ДЕЙНОСТИ ПО ИЗПЪЛНЕНИЕ НА ПРОГРАМАТА</w:t>
            </w:r>
          </w:p>
          <w:p w:rsidR="00823CCA" w:rsidRPr="00275EB5" w:rsidRDefault="00823CCA" w:rsidP="00382EEF">
            <w:pPr>
              <w:ind w:firstLine="720"/>
              <w:jc w:val="both"/>
            </w:pPr>
          </w:p>
          <w:tbl>
            <w:tblPr>
              <w:tblW w:w="117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38"/>
              <w:gridCol w:w="993"/>
              <w:gridCol w:w="3466"/>
            </w:tblGrid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F2F2F2"/>
                </w:tcPr>
                <w:p w:rsidR="00823CCA" w:rsidRPr="002F32CE" w:rsidRDefault="00823CCA" w:rsidP="00382EEF">
                  <w:pPr>
                    <w:jc w:val="center"/>
                    <w:rPr>
                      <w:b/>
                    </w:rPr>
                  </w:pPr>
                  <w:r w:rsidRPr="002F32CE">
                    <w:rPr>
                      <w:b/>
                    </w:rPr>
                    <w:t>Дейности</w:t>
                  </w:r>
                </w:p>
              </w:tc>
              <w:tc>
                <w:tcPr>
                  <w:tcW w:w="993" w:type="dxa"/>
                  <w:shd w:val="clear" w:color="auto" w:fill="F2F2F2"/>
                </w:tcPr>
                <w:p w:rsidR="00823CCA" w:rsidRPr="002F32CE" w:rsidRDefault="00823CCA" w:rsidP="00382EEF">
                  <w:pPr>
                    <w:jc w:val="center"/>
                    <w:rPr>
                      <w:b/>
                    </w:rPr>
                  </w:pPr>
                  <w:r w:rsidRPr="002F32CE">
                    <w:rPr>
                      <w:b/>
                    </w:rPr>
                    <w:t>Срок</w:t>
                  </w:r>
                </w:p>
              </w:tc>
              <w:tc>
                <w:tcPr>
                  <w:tcW w:w="3466" w:type="dxa"/>
                  <w:shd w:val="clear" w:color="auto" w:fill="F2F2F2"/>
                </w:tcPr>
                <w:p w:rsidR="00823CCA" w:rsidRPr="002F32CE" w:rsidRDefault="00823CCA" w:rsidP="00382EEF">
                  <w:pPr>
                    <w:jc w:val="center"/>
                    <w:rPr>
                      <w:b/>
                    </w:rPr>
                  </w:pPr>
                  <w:r w:rsidRPr="002F32CE">
                    <w:rPr>
                      <w:b/>
                    </w:rPr>
                    <w:t>Отговорник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11797" w:type="dxa"/>
                  <w:gridSpan w:val="3"/>
                  <w:shd w:val="clear" w:color="auto" w:fill="F2F2F2"/>
                </w:tcPr>
                <w:p w:rsidR="00823CCA" w:rsidRPr="002F32CE" w:rsidRDefault="00823CCA" w:rsidP="00382EEF">
                  <w:pPr>
                    <w:jc w:val="center"/>
                    <w:rPr>
                      <w:b/>
                    </w:rPr>
                  </w:pPr>
                  <w:r w:rsidRPr="002F32CE">
                    <w:rPr>
                      <w:b/>
                    </w:rPr>
                    <w:t>Обща подкрепа за личностно развитие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 xml:space="preserve">1. Планиране на дейности за обща подкрепа за личностно развитие в плановете за часа на класа.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416AF6" w:rsidRDefault="00823CCA" w:rsidP="00382EEF">
                  <w:r w:rsidRPr="00416AF6">
                    <w:t>септември 202</w:t>
                  </w:r>
                  <w:r w:rsidR="00E66F37">
                    <w:t>1</w:t>
                  </w:r>
                  <w:r w:rsidRPr="00416AF6">
                    <w:t xml:space="preserve"> г.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класни ръководители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2. Екипна работа между учителите от даден клас за подпомагане на учебната дейност, по-ефективна работа в групата за ЦОУД и в часовете за консултации.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 xml:space="preserve">класни ръководители; учители 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3. Провеждане на консултации с напреднали ученици с цел подготовка за участие в олимпиади, състезания и конкурси.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учители по предмети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416AF6" w:rsidRDefault="00823CCA" w:rsidP="00382EEF">
                  <w:pPr>
                    <w:jc w:val="both"/>
                  </w:pPr>
                  <w:r w:rsidRPr="00416AF6">
                    <w:t>4. Включване на ученици в групи за преодоляване на обучителни затруднения</w:t>
                  </w:r>
                  <w:r>
                    <w:t xml:space="preserve"> и в занимания по интереси </w:t>
                  </w:r>
                  <w:r w:rsidRPr="00416AF6">
                    <w:t xml:space="preserve">по проект „Подкрепа за успех“ </w:t>
                  </w:r>
                  <w:r w:rsidRPr="00416AF6">
                    <w:rPr>
                      <w:i/>
                      <w:lang w:val="en-US"/>
                    </w:rPr>
                    <w:t>(</w:t>
                  </w:r>
                  <w:r w:rsidRPr="00416AF6">
                    <w:rPr>
                      <w:i/>
                    </w:rPr>
                    <w:t>ако училището е включено в идентифицираните училища с концентрация на ученици от уязвими групи</w:t>
                  </w:r>
                  <w:r w:rsidRPr="00416AF6">
                    <w:rPr>
                      <w:i/>
                      <w:lang w:val="en-US"/>
                    </w:rPr>
                    <w:t>)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416AF6" w:rsidRDefault="00823CCA" w:rsidP="00382EEF">
                  <w:r w:rsidRPr="00416AF6">
                    <w:t>септември 202</w:t>
                  </w:r>
                  <w:r w:rsidR="00E66F37">
                    <w:t>1</w:t>
                  </w:r>
                  <w:r w:rsidRPr="00416AF6">
                    <w:t xml:space="preserve"> г.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416AF6" w:rsidRDefault="00823CCA" w:rsidP="00382EEF">
                  <w:pPr>
                    <w:jc w:val="both"/>
                  </w:pPr>
                  <w:r w:rsidRPr="00416AF6">
                    <w:t>ръководители на групи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416AF6" w:rsidRDefault="00823CCA" w:rsidP="00382EEF">
                  <w:pPr>
                    <w:jc w:val="both"/>
                  </w:pPr>
                  <w:r w:rsidRPr="00416AF6">
                    <w:rPr>
                      <w:lang w:val="en-US"/>
                    </w:rPr>
                    <w:t>5</w:t>
                  </w:r>
                  <w:r w:rsidRPr="00416AF6">
                    <w:t>. Анкетно проучване сред учениците и техните родители за установяване потребностите и желанията им и формиране на групи по занимания по интереси,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416AF6" w:rsidRDefault="00823CCA" w:rsidP="00382EEF">
                  <w:r w:rsidRPr="00416AF6">
                    <w:t>септември 202</w:t>
                  </w:r>
                  <w:r w:rsidR="00E66F37">
                    <w:t>1</w:t>
                  </w:r>
                  <w:r w:rsidRPr="00416AF6">
                    <w:t xml:space="preserve"> г.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416AF6" w:rsidRDefault="00823CCA" w:rsidP="00382EEF">
                  <w:pPr>
                    <w:jc w:val="both"/>
                  </w:pPr>
                  <w:r w:rsidRPr="00416AF6">
                    <w:t>ръководители на групи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>
                    <w:t>6</w:t>
                  </w:r>
                  <w:r w:rsidRPr="00275EB5">
                    <w:t>. Осигуряване на постоянен достъп до спортната база на училището, компютърната зала и други ресурси на училището.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учители по учебни предмети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>
                    <w:t>7</w:t>
                  </w:r>
                  <w:r w:rsidRPr="00275EB5">
                    <w:t xml:space="preserve">. Кариерно ориентиране и консултиране на учениците от </w:t>
                  </w:r>
                  <w:r w:rsidRPr="00416AF6">
                    <w:rPr>
                      <w:lang w:val="en-US"/>
                    </w:rPr>
                    <w:t>V-</w:t>
                  </w:r>
                  <w:r w:rsidRPr="00416AF6">
                    <w:t xml:space="preserve">VII, </w:t>
                  </w:r>
                  <w:r w:rsidRPr="00416AF6">
                    <w:rPr>
                      <w:lang w:val="en-US"/>
                    </w:rPr>
                    <w:t>X</w:t>
                  </w:r>
                  <w:r w:rsidRPr="00416AF6">
                    <w:t xml:space="preserve">, </w:t>
                  </w:r>
                  <w:r w:rsidRPr="00416AF6">
                    <w:lastRenderedPageBreak/>
                    <w:t>ХII клас, свързано с избора на училище, профил, професия.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lastRenderedPageBreak/>
                    <w:t xml:space="preserve">през </w:t>
                  </w:r>
                  <w:r w:rsidRPr="00275EB5">
                    <w:lastRenderedPageBreak/>
                    <w:t>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lastRenderedPageBreak/>
                    <w:t>педагогически съветник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>
                    <w:t>8</w:t>
                  </w:r>
                  <w:r w:rsidRPr="00275EB5">
                    <w:t>. Награждаване на ученици за високи постижения в образователната дейност, в заниманията по интереси и за приноса им към развитието на училищната общност – при и по определен повод за поощрение по реда на ПДУ.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 xml:space="preserve">директор 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>
                    <w:t>9</w:t>
                  </w:r>
                  <w:r w:rsidRPr="00275EB5">
                    <w:t>. Изпълнение на съвместни дейности с Районен съд и районна прокуратура за повишаване на правната грамотност на учениците.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по график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класни ръководители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11797" w:type="dxa"/>
                  <w:gridSpan w:val="3"/>
                  <w:shd w:val="clear" w:color="auto" w:fill="F2F2F2"/>
                </w:tcPr>
                <w:p w:rsidR="00823CCA" w:rsidRPr="002F32CE" w:rsidRDefault="00823CCA" w:rsidP="00382EEF">
                  <w:pPr>
                    <w:rPr>
                      <w:b/>
                    </w:rPr>
                  </w:pPr>
                  <w:r w:rsidRPr="002F32CE">
                    <w:rPr>
                      <w:b/>
                    </w:rPr>
                    <w:t>Допълнителна подкрепа за личностно развитие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1. Идентифициране на ученици, на които да се предостави допълнителна подкрепа за личностно развитие.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класни ръководители; педагогически съветник; ресурсен учител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416AF6" w:rsidRDefault="00823CCA" w:rsidP="00382EEF">
                  <w:pPr>
                    <w:jc w:val="both"/>
                  </w:pPr>
                  <w:r w:rsidRPr="00416AF6">
                    <w:t>2. Извършване на оценка на потребностите на учениците със СОП или при идентифицирана необходимост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416AF6" w:rsidRDefault="00823CCA" w:rsidP="00382EEF">
                  <w:r w:rsidRPr="00416AF6">
                    <w:t>до месец ноември 202</w:t>
                  </w:r>
                  <w:r w:rsidR="00E66F37">
                    <w:t>1</w:t>
                  </w:r>
                  <w:r w:rsidRPr="00416AF6">
                    <w:t xml:space="preserve"> г.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 xml:space="preserve">училищни ЕПЛР 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 xml:space="preserve">3. Осигуряване на подкрепа на ученици със СОП от специалисти съобразно индивидуалните им потребности – логопед, психолог, педагог на ученици със зрителни затруднения. 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 xml:space="preserve">директор 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4. Изпълнение на мерки за недопускане отпадане от училище (съгласно училищната програма за превенция на отпадането).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училищни екипи; учители; педагогически съветник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8808D2" w:rsidRDefault="00823CCA" w:rsidP="00382EEF">
                  <w:pPr>
                    <w:jc w:val="both"/>
                    <w:rPr>
                      <w:lang w:val="en-US"/>
                    </w:rPr>
                  </w:pPr>
                  <w:r w:rsidRPr="00275EB5">
                    <w:t>5. Изпълнение на мерки за превенция на агресията и тормоза</w:t>
                  </w:r>
                  <w:r>
                    <w:rPr>
                      <w:lang w:val="en-US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училищни екипи, УКС, педагогически съветник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6. Стимулиране на учениците с предоставена допълнителна подкрепа в училищни инициативи.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>през учебната година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училищни екипи; УКС, педагогически съветник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7. Повишаване информираността на родителите:</w:t>
                  </w:r>
                </w:p>
                <w:p w:rsidR="00823CCA" w:rsidRPr="00416AF6" w:rsidRDefault="00823CCA" w:rsidP="00382EEF">
                  <w:pPr>
                    <w:numPr>
                      <w:ilvl w:val="0"/>
                      <w:numId w:val="3"/>
                    </w:numPr>
                    <w:jc w:val="both"/>
                  </w:pPr>
                  <w:r w:rsidRPr="00275EB5">
                    <w:t xml:space="preserve">относно отговорността им в </w:t>
                  </w:r>
                  <w:r w:rsidRPr="00416AF6">
                    <w:t>процеса на образование на децата им;</w:t>
                  </w:r>
                </w:p>
                <w:p w:rsidR="00823CCA" w:rsidRPr="00275EB5" w:rsidRDefault="00823CCA" w:rsidP="00382EEF">
                  <w:pPr>
                    <w:numPr>
                      <w:ilvl w:val="0"/>
                      <w:numId w:val="3"/>
                    </w:numPr>
                    <w:jc w:val="both"/>
                  </w:pPr>
                  <w:r w:rsidRPr="00416AF6">
                    <w:t xml:space="preserve">за преодоляване на негативни стереотипи и дискриминационни </w:t>
                  </w:r>
                  <w:r w:rsidRPr="00416AF6">
                    <w:lastRenderedPageBreak/>
                    <w:t>нагласи спрямо различните етноси и децата с увреждания.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lastRenderedPageBreak/>
                    <w:t>на паралелкови родителс</w:t>
                  </w:r>
                  <w:r w:rsidRPr="00275EB5">
                    <w:lastRenderedPageBreak/>
                    <w:t>ки срещи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lastRenderedPageBreak/>
                    <w:t>класни ръководители; педагогически съветник</w:t>
                  </w:r>
                </w:p>
              </w:tc>
            </w:tr>
            <w:tr w:rsidR="00823CCA" w:rsidRPr="00275EB5" w:rsidTr="00CA4454">
              <w:trPr>
                <w:jc w:val="center"/>
              </w:trPr>
              <w:tc>
                <w:tcPr>
                  <w:tcW w:w="7338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>8. Обучение на педагогическите специалисти за работа с деца с аутизъм.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23CCA" w:rsidRPr="00275EB5" w:rsidRDefault="00823CCA" w:rsidP="00382EEF">
                  <w:r w:rsidRPr="00275EB5">
                    <w:t xml:space="preserve">по график съгласно плана за квалификация </w:t>
                  </w:r>
                </w:p>
              </w:tc>
              <w:tc>
                <w:tcPr>
                  <w:tcW w:w="3466" w:type="dxa"/>
                  <w:shd w:val="clear" w:color="auto" w:fill="auto"/>
                </w:tcPr>
                <w:p w:rsidR="00823CCA" w:rsidRPr="00275EB5" w:rsidRDefault="00823CCA" w:rsidP="00382EEF">
                  <w:pPr>
                    <w:jc w:val="both"/>
                  </w:pPr>
                  <w:r w:rsidRPr="00275EB5">
                    <w:t xml:space="preserve">директор </w:t>
                  </w:r>
                </w:p>
              </w:tc>
            </w:tr>
          </w:tbl>
          <w:p w:rsidR="00823CCA" w:rsidRPr="00275EB5" w:rsidRDefault="00823CCA" w:rsidP="00382EEF">
            <w:pPr>
              <w:jc w:val="both"/>
            </w:pPr>
          </w:p>
          <w:p w:rsidR="00823CCA" w:rsidRPr="00FD2A20" w:rsidRDefault="00823CCA" w:rsidP="00382EEF">
            <w:pPr>
              <w:ind w:firstLine="720"/>
              <w:jc w:val="both"/>
              <w:outlineLvl w:val="0"/>
              <w:rPr>
                <w:b/>
              </w:rPr>
            </w:pPr>
            <w:bookmarkStart w:id="1" w:name="_Toc456958971"/>
            <w:bookmarkStart w:id="2" w:name="_Toc456959689"/>
            <w:bookmarkStart w:id="3" w:name="_Toc458068668"/>
            <w:bookmarkStart w:id="4" w:name="_Toc458159025"/>
            <w:r w:rsidRPr="00FD2A20">
              <w:rPr>
                <w:b/>
              </w:rPr>
              <w:t xml:space="preserve">V. </w:t>
            </w:r>
            <w:bookmarkEnd w:id="1"/>
            <w:bookmarkEnd w:id="2"/>
            <w:bookmarkEnd w:id="3"/>
            <w:bookmarkEnd w:id="4"/>
            <w:r w:rsidRPr="00FD2A20">
              <w:rPr>
                <w:b/>
              </w:rPr>
              <w:t>ОЧАКВАНИ РЕЗУЛТАТИ</w:t>
            </w:r>
          </w:p>
          <w:p w:rsidR="00823CCA" w:rsidRPr="00275EB5" w:rsidRDefault="00823CCA" w:rsidP="00382EEF">
            <w:pPr>
              <w:numPr>
                <w:ilvl w:val="0"/>
                <w:numId w:val="2"/>
              </w:numPr>
              <w:jc w:val="both"/>
              <w:outlineLvl w:val="0"/>
            </w:pPr>
            <w:r w:rsidRPr="00275EB5">
              <w:t>Гарантиране на достъпа на всеки ученик до подкрепа за личностно развитие, в зависимост от неговите индивидуални потребности, с оглед възможността за възникване на затруднения в процеса на обучение и приобщаване и на необходимостта от подходяща подкрепа.</w:t>
            </w:r>
          </w:p>
          <w:p w:rsidR="00823CCA" w:rsidRPr="00275EB5" w:rsidRDefault="00823CCA" w:rsidP="00382EEF">
            <w:pPr>
              <w:numPr>
                <w:ilvl w:val="0"/>
                <w:numId w:val="2"/>
              </w:numPr>
              <w:jc w:val="both"/>
              <w:outlineLvl w:val="0"/>
            </w:pPr>
            <w:r w:rsidRPr="00275EB5">
              <w:t>Постигане на равнопоставеност и недопускане на дискриминация при провеждане на училищното образование, гаранции за които са създадените условия за обучение на всички ученици заедно, независимо от трудностите и различията, които може да възникнат при ученето и научаването и при участието им в дейността на училището.</w:t>
            </w:r>
          </w:p>
          <w:p w:rsidR="00823CCA" w:rsidRPr="00275EB5" w:rsidRDefault="00823CCA" w:rsidP="00382EEF">
            <w:pPr>
              <w:numPr>
                <w:ilvl w:val="0"/>
                <w:numId w:val="2"/>
              </w:numPr>
              <w:jc w:val="both"/>
              <w:outlineLvl w:val="0"/>
            </w:pPr>
            <w:r w:rsidRPr="00275EB5">
              <w:t>Сътрудничество между всички участници в процеса на предоставяне на подкрепа за личностно развитие – училището, ученикът, семейството и общността.</w:t>
            </w:r>
          </w:p>
          <w:p w:rsidR="00823CCA" w:rsidRPr="00FD2A20" w:rsidRDefault="00823CCA" w:rsidP="00382EEF">
            <w:pPr>
              <w:jc w:val="both"/>
              <w:rPr>
                <w:i/>
              </w:rPr>
            </w:pPr>
          </w:p>
          <w:p w:rsidR="00823CCA" w:rsidRDefault="00823CCA" w:rsidP="00382EEF"/>
        </w:tc>
      </w:tr>
    </w:tbl>
    <w:p w:rsidR="00B14A9E" w:rsidRDefault="00B14A9E"/>
    <w:sectPr w:rsidR="00B14A9E" w:rsidSect="002C70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90B"/>
    <w:multiLevelType w:val="hybridMultilevel"/>
    <w:tmpl w:val="EDE61C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50629"/>
    <w:multiLevelType w:val="hybridMultilevel"/>
    <w:tmpl w:val="FCF622C8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9DF3881"/>
    <w:multiLevelType w:val="hybridMultilevel"/>
    <w:tmpl w:val="E6CA7918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5C662AE"/>
    <w:multiLevelType w:val="hybridMultilevel"/>
    <w:tmpl w:val="98BA8124"/>
    <w:lvl w:ilvl="0" w:tplc="1EB6B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B32D6"/>
    <w:multiLevelType w:val="hybridMultilevel"/>
    <w:tmpl w:val="FE3A9ABA"/>
    <w:lvl w:ilvl="0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73E1592"/>
    <w:multiLevelType w:val="hybridMultilevel"/>
    <w:tmpl w:val="80E2E632"/>
    <w:lvl w:ilvl="0" w:tplc="1EB6B7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D5AF6"/>
    <w:multiLevelType w:val="hybridMultilevel"/>
    <w:tmpl w:val="12CC6DC6"/>
    <w:lvl w:ilvl="0" w:tplc="5260A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C803C4"/>
    <w:multiLevelType w:val="hybridMultilevel"/>
    <w:tmpl w:val="730619FA"/>
    <w:lvl w:ilvl="0" w:tplc="1EB6B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EB6B7B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0F11EE"/>
    <w:multiLevelType w:val="hybridMultilevel"/>
    <w:tmpl w:val="3AF0522A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71F525B3"/>
    <w:multiLevelType w:val="hybridMultilevel"/>
    <w:tmpl w:val="EEDC35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B7D0C"/>
    <w:multiLevelType w:val="hybridMultilevel"/>
    <w:tmpl w:val="0F22DA7A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16A4B"/>
    <w:rsid w:val="00144F2F"/>
    <w:rsid w:val="00231C75"/>
    <w:rsid w:val="0028382A"/>
    <w:rsid w:val="002C7044"/>
    <w:rsid w:val="004E20CA"/>
    <w:rsid w:val="00636AAB"/>
    <w:rsid w:val="007C445E"/>
    <w:rsid w:val="00823CCA"/>
    <w:rsid w:val="00A52473"/>
    <w:rsid w:val="00B03832"/>
    <w:rsid w:val="00B14A9E"/>
    <w:rsid w:val="00B14E4E"/>
    <w:rsid w:val="00B16A4B"/>
    <w:rsid w:val="00B72795"/>
    <w:rsid w:val="00C82CF7"/>
    <w:rsid w:val="00CA4454"/>
    <w:rsid w:val="00D3188D"/>
    <w:rsid w:val="00E6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6515D-26EC-4A11-989E-3C56B682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823CCA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823CC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CCA"/>
    <w:rPr>
      <w:rFonts w:ascii="Times New Roman" w:eastAsia="Times New Roman" w:hAnsi="Times New Roman" w:cs="Times New Roman"/>
      <w:b/>
      <w:bCs/>
      <w:caps/>
      <w:sz w:val="24"/>
      <w:szCs w:val="20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823CCA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823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23C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7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istobote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2021-09-21T06:29:00Z</cp:lastPrinted>
  <dcterms:created xsi:type="dcterms:W3CDTF">2021-09-18T13:07:00Z</dcterms:created>
  <dcterms:modified xsi:type="dcterms:W3CDTF">2021-09-21T06:30:00Z</dcterms:modified>
</cp:coreProperties>
</file>